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3EA48" w14:textId="77777777" w:rsidR="007508CB" w:rsidRPr="00934AB8" w:rsidRDefault="007508CB" w:rsidP="007508CB">
      <w:pPr>
        <w:jc w:val="center"/>
        <w:rPr>
          <w:rFonts w:cstheme="minorHAnsi"/>
          <w:b/>
          <w:bCs/>
          <w:sz w:val="28"/>
          <w:szCs w:val="28"/>
        </w:rPr>
      </w:pPr>
      <w:r w:rsidRPr="00934AB8">
        <w:rPr>
          <w:rFonts w:cstheme="minorHAnsi"/>
          <w:b/>
          <w:bCs/>
          <w:sz w:val="28"/>
          <w:szCs w:val="28"/>
        </w:rPr>
        <w:t>PROYECTO DE INTERPELACION AL MINISTRO DE HACIENDA Y OBRAS PÚBLICAS, C.P.N. NESTOR ORDOÑEZ</w:t>
      </w:r>
    </w:p>
    <w:p w14:paraId="293EF89A" w14:textId="77777777" w:rsidR="007508CB" w:rsidRDefault="007508CB" w:rsidP="00B16D07">
      <w:pPr>
        <w:rPr>
          <w:rFonts w:cstheme="minorHAnsi"/>
          <w:b/>
          <w:bCs/>
          <w:sz w:val="28"/>
          <w:szCs w:val="28"/>
        </w:rPr>
      </w:pPr>
    </w:p>
    <w:p w14:paraId="25CBD592" w14:textId="2CA3F6C7" w:rsidR="00B16D07" w:rsidRPr="00934AB8" w:rsidRDefault="00B16D07" w:rsidP="00B16D07">
      <w:pPr>
        <w:rPr>
          <w:rFonts w:cstheme="minorHAnsi"/>
          <w:b/>
          <w:bCs/>
          <w:sz w:val="28"/>
          <w:szCs w:val="28"/>
        </w:rPr>
      </w:pPr>
      <w:r w:rsidRPr="00934AB8">
        <w:rPr>
          <w:rFonts w:cstheme="minorHAnsi"/>
          <w:b/>
          <w:bCs/>
          <w:sz w:val="28"/>
          <w:szCs w:val="28"/>
        </w:rPr>
        <w:t>Fundamentos.</w:t>
      </w:r>
    </w:p>
    <w:p w14:paraId="17CD0434" w14:textId="1DCC5384" w:rsidR="00B16D07" w:rsidRPr="00934AB8" w:rsidRDefault="00B16D07" w:rsidP="00B16D07">
      <w:pPr>
        <w:jc w:val="both"/>
        <w:rPr>
          <w:rFonts w:cstheme="minorHAnsi"/>
          <w:sz w:val="28"/>
          <w:szCs w:val="28"/>
        </w:rPr>
      </w:pPr>
      <w:r w:rsidRPr="00934AB8">
        <w:rPr>
          <w:rFonts w:cstheme="minorHAnsi"/>
          <w:sz w:val="28"/>
          <w:szCs w:val="28"/>
        </w:rPr>
        <w:t xml:space="preserve">Desde que Claudio Poggi asumió la gobernación de San Luis, el estado de las finanzas públicas ha sido motivo de grandes debates, pero fundamentalmente, ha sido excusa para la ejecución de políticas públicas que como mínimo se pueden calificar como </w:t>
      </w:r>
      <w:r w:rsidR="00CE19DD" w:rsidRPr="008579D9">
        <w:rPr>
          <w:rFonts w:cstheme="minorHAnsi"/>
          <w:sz w:val="28"/>
          <w:szCs w:val="28"/>
        </w:rPr>
        <w:t>inexistentes</w:t>
      </w:r>
      <w:r w:rsidR="008579D9">
        <w:rPr>
          <w:rFonts w:cstheme="minorHAnsi"/>
          <w:sz w:val="28"/>
          <w:szCs w:val="28"/>
        </w:rPr>
        <w:t>.</w:t>
      </w:r>
    </w:p>
    <w:p w14:paraId="7B94DF68" w14:textId="77777777" w:rsidR="00CE19DD" w:rsidRPr="002B393D" w:rsidRDefault="00CE19DD" w:rsidP="00CE19DD">
      <w:pPr>
        <w:jc w:val="both"/>
        <w:rPr>
          <w:rFonts w:cstheme="minorHAnsi"/>
          <w:sz w:val="28"/>
          <w:szCs w:val="28"/>
        </w:rPr>
      </w:pPr>
      <w:r w:rsidRPr="008579D9">
        <w:rPr>
          <w:rFonts w:cstheme="minorHAnsi"/>
          <w:sz w:val="28"/>
          <w:szCs w:val="28"/>
        </w:rPr>
        <w:t>Este Pedido que busca traer claridad sobre el estado real de la economía sanluiseña.</w:t>
      </w:r>
    </w:p>
    <w:p w14:paraId="0668D817" w14:textId="766F8A25" w:rsidR="00B16D07" w:rsidRPr="00934AB8" w:rsidRDefault="00B16D07" w:rsidP="00B16D07">
      <w:pPr>
        <w:jc w:val="both"/>
        <w:rPr>
          <w:rFonts w:cstheme="minorHAnsi"/>
          <w:sz w:val="28"/>
          <w:szCs w:val="28"/>
        </w:rPr>
      </w:pPr>
      <w:r w:rsidRPr="00934AB8">
        <w:rPr>
          <w:rFonts w:cstheme="minorHAnsi"/>
          <w:sz w:val="28"/>
          <w:szCs w:val="28"/>
        </w:rPr>
        <w:t xml:space="preserve">El 14 de diciembre, a 5 días de haber asumido la gobernación, se anunció por primera vez en la historia de la democracia puntana, el desdoblamiento de los sueldos de todos los agentes de </w:t>
      </w:r>
      <w:r w:rsidR="002B393D" w:rsidRPr="008579D9">
        <w:rPr>
          <w:rFonts w:cstheme="minorHAnsi"/>
          <w:sz w:val="28"/>
          <w:szCs w:val="28"/>
        </w:rPr>
        <w:t>la</w:t>
      </w:r>
      <w:r w:rsidR="002B393D">
        <w:rPr>
          <w:rFonts w:cstheme="minorHAnsi"/>
          <w:sz w:val="28"/>
          <w:szCs w:val="28"/>
        </w:rPr>
        <w:t xml:space="preserve"> </w:t>
      </w:r>
      <w:r w:rsidRPr="00934AB8">
        <w:rPr>
          <w:rFonts w:cstheme="minorHAnsi"/>
          <w:sz w:val="28"/>
          <w:szCs w:val="28"/>
        </w:rPr>
        <w:t>administración pública provincial. Junto a estas medidas, se tomaron otras, entre las que se pueden incluir la paralización total de la obra pública provincial</w:t>
      </w:r>
      <w:r w:rsidR="002B393D">
        <w:rPr>
          <w:rFonts w:cstheme="minorHAnsi"/>
          <w:sz w:val="28"/>
          <w:szCs w:val="28"/>
        </w:rPr>
        <w:t xml:space="preserve">, </w:t>
      </w:r>
      <w:r w:rsidR="002B393D" w:rsidRPr="008579D9">
        <w:rPr>
          <w:rFonts w:cstheme="minorHAnsi"/>
          <w:sz w:val="28"/>
          <w:szCs w:val="28"/>
        </w:rPr>
        <w:t>lo que se vio plasmado en diferentes actos administrativos que a lo largo de los mese fueron publicándose, de manera ocasional, en los boletines oficiales de la Provincia.</w:t>
      </w:r>
      <w:r w:rsidR="002B393D">
        <w:rPr>
          <w:rFonts w:cstheme="minorHAnsi"/>
          <w:sz w:val="28"/>
          <w:szCs w:val="28"/>
        </w:rPr>
        <w:t xml:space="preserve"> </w:t>
      </w:r>
    </w:p>
    <w:p w14:paraId="7F368EEB" w14:textId="4DD04C44" w:rsidR="00B16D07" w:rsidRPr="00934AB8" w:rsidRDefault="00B16D07" w:rsidP="00B16D07">
      <w:pPr>
        <w:jc w:val="both"/>
        <w:rPr>
          <w:rFonts w:cstheme="minorHAnsi"/>
          <w:sz w:val="28"/>
          <w:szCs w:val="28"/>
        </w:rPr>
      </w:pPr>
      <w:r w:rsidRPr="00934AB8">
        <w:rPr>
          <w:rFonts w:cstheme="minorHAnsi"/>
          <w:sz w:val="28"/>
          <w:szCs w:val="28"/>
        </w:rPr>
        <w:t>En ese momento, la única información oficial a la que se podía acceder era la Programación Financiera del mes de diciembre, de la que surgía que había dinero suficiente para abonar los salarios a término y pagar todos los compromisos asumidos por el ejecutivo provincial</w:t>
      </w:r>
      <w:r w:rsidR="002B393D" w:rsidRPr="008579D9">
        <w:rPr>
          <w:rFonts w:cstheme="minorHAnsi"/>
          <w:sz w:val="28"/>
          <w:szCs w:val="28"/>
        </w:rPr>
        <w:t xml:space="preserve">, lo que fue acreditado por el Ministro de Hacienda y Obras </w:t>
      </w:r>
      <w:r w:rsidR="008579D9">
        <w:rPr>
          <w:rFonts w:cstheme="minorHAnsi"/>
          <w:sz w:val="28"/>
          <w:szCs w:val="28"/>
        </w:rPr>
        <w:t>Pú</w:t>
      </w:r>
      <w:r w:rsidR="002B393D" w:rsidRPr="008579D9">
        <w:rPr>
          <w:rFonts w:cstheme="minorHAnsi"/>
          <w:sz w:val="28"/>
          <w:szCs w:val="28"/>
        </w:rPr>
        <w:t>blicas, en un informe presentado a la Legislatura y remitido a los legisladores que conformamos esta C</w:t>
      </w:r>
      <w:r w:rsidR="008579D9">
        <w:rPr>
          <w:rFonts w:cstheme="minorHAnsi"/>
          <w:sz w:val="28"/>
          <w:szCs w:val="28"/>
        </w:rPr>
        <w:t>á</w:t>
      </w:r>
      <w:r w:rsidR="002B393D" w:rsidRPr="008579D9">
        <w:rPr>
          <w:rFonts w:cstheme="minorHAnsi"/>
          <w:sz w:val="28"/>
          <w:szCs w:val="28"/>
        </w:rPr>
        <w:t>mara, que daba veracidad de lo dispuesto en dicho acto administrativo.</w:t>
      </w:r>
    </w:p>
    <w:p w14:paraId="6B15BFC9" w14:textId="35812D7F" w:rsidR="00B16D07" w:rsidRPr="00934AB8" w:rsidRDefault="00B16D07" w:rsidP="00B16D07">
      <w:pPr>
        <w:jc w:val="both"/>
        <w:rPr>
          <w:rFonts w:cstheme="minorHAnsi"/>
          <w:sz w:val="28"/>
          <w:szCs w:val="28"/>
        </w:rPr>
      </w:pPr>
      <w:r w:rsidRPr="00934AB8">
        <w:rPr>
          <w:rFonts w:cstheme="minorHAnsi"/>
          <w:sz w:val="28"/>
          <w:szCs w:val="28"/>
        </w:rPr>
        <w:t xml:space="preserve">Desde la Cámara de Diputados, a través de la Comisión </w:t>
      </w:r>
      <w:r w:rsidR="00F633EF" w:rsidRPr="008579D9">
        <w:rPr>
          <w:rFonts w:cstheme="minorHAnsi"/>
          <w:sz w:val="28"/>
          <w:szCs w:val="28"/>
        </w:rPr>
        <w:t>Permanente</w:t>
      </w:r>
      <w:r w:rsidR="00F633EF">
        <w:rPr>
          <w:rFonts w:cstheme="minorHAnsi"/>
          <w:sz w:val="28"/>
          <w:szCs w:val="28"/>
        </w:rPr>
        <w:t xml:space="preserve"> </w:t>
      </w:r>
      <w:r w:rsidRPr="00934AB8">
        <w:rPr>
          <w:rFonts w:cstheme="minorHAnsi"/>
          <w:sz w:val="28"/>
          <w:szCs w:val="28"/>
        </w:rPr>
        <w:t xml:space="preserve">de Asuntos Constitucionales, se elevaron pedidos de informe al </w:t>
      </w:r>
      <w:r w:rsidR="00F633EF">
        <w:rPr>
          <w:rFonts w:cstheme="minorHAnsi"/>
          <w:sz w:val="28"/>
          <w:szCs w:val="28"/>
        </w:rPr>
        <w:t>Poder E</w:t>
      </w:r>
      <w:r w:rsidRPr="00934AB8">
        <w:rPr>
          <w:rFonts w:cstheme="minorHAnsi"/>
          <w:sz w:val="28"/>
          <w:szCs w:val="28"/>
        </w:rPr>
        <w:t>jecutivo al Banco Nación y al Banco Central de la República Argentina</w:t>
      </w:r>
      <w:r w:rsidR="008579D9">
        <w:rPr>
          <w:rFonts w:cstheme="minorHAnsi"/>
          <w:sz w:val="28"/>
          <w:szCs w:val="28"/>
        </w:rPr>
        <w:t xml:space="preserve"> </w:t>
      </w:r>
      <w:r w:rsidR="00F633EF" w:rsidRPr="008579D9">
        <w:rPr>
          <w:rFonts w:cstheme="minorHAnsi"/>
          <w:sz w:val="28"/>
          <w:szCs w:val="28"/>
        </w:rPr>
        <w:t xml:space="preserve">en los </w:t>
      </w:r>
      <w:r w:rsidRPr="008579D9">
        <w:rPr>
          <w:rFonts w:cstheme="minorHAnsi"/>
          <w:sz w:val="28"/>
          <w:szCs w:val="28"/>
        </w:rPr>
        <w:t>que</w:t>
      </w:r>
      <w:r w:rsidRPr="00934AB8">
        <w:rPr>
          <w:rFonts w:cstheme="minorHAnsi"/>
          <w:sz w:val="28"/>
          <w:szCs w:val="28"/>
        </w:rPr>
        <w:t xml:space="preserve"> se solicitaba se brindar</w:t>
      </w:r>
      <w:r w:rsidR="00B23F34">
        <w:rPr>
          <w:rFonts w:cstheme="minorHAnsi"/>
          <w:sz w:val="28"/>
          <w:szCs w:val="28"/>
        </w:rPr>
        <w:t>a</w:t>
      </w:r>
      <w:r w:rsidRPr="00934AB8">
        <w:rPr>
          <w:rFonts w:cstheme="minorHAnsi"/>
          <w:sz w:val="28"/>
          <w:szCs w:val="28"/>
        </w:rPr>
        <w:t xml:space="preserve"> información oficial sobre el estado de las cuentas </w:t>
      </w:r>
      <w:r w:rsidRPr="008579D9">
        <w:rPr>
          <w:rFonts w:cstheme="minorHAnsi"/>
          <w:sz w:val="28"/>
          <w:szCs w:val="28"/>
        </w:rPr>
        <w:t>públicas</w:t>
      </w:r>
      <w:r w:rsidR="00F633EF" w:rsidRPr="008579D9">
        <w:rPr>
          <w:rFonts w:cstheme="minorHAnsi"/>
          <w:sz w:val="28"/>
          <w:szCs w:val="28"/>
        </w:rPr>
        <w:t xml:space="preserve"> teniendo en cuenta las manifestaciones que se realizaban desde los medios oficiales y oficialistas que a viva voz decían “No hay Plata”.</w:t>
      </w:r>
    </w:p>
    <w:p w14:paraId="3C6B69F2" w14:textId="098F1590" w:rsidR="00B16D07" w:rsidRPr="00934AB8" w:rsidRDefault="00966FF0" w:rsidP="00963353">
      <w:pPr>
        <w:jc w:val="both"/>
        <w:rPr>
          <w:rFonts w:cstheme="minorHAnsi"/>
          <w:sz w:val="28"/>
          <w:szCs w:val="28"/>
        </w:rPr>
      </w:pPr>
      <w:r>
        <w:rPr>
          <w:rFonts w:cstheme="minorHAnsi"/>
          <w:sz w:val="28"/>
          <w:szCs w:val="28"/>
        </w:rPr>
        <w:t xml:space="preserve">Pasaban los meses y </w:t>
      </w:r>
      <w:r w:rsidR="00B16D07" w:rsidRPr="00934AB8">
        <w:rPr>
          <w:rFonts w:cstheme="minorHAnsi"/>
          <w:sz w:val="28"/>
          <w:szCs w:val="28"/>
        </w:rPr>
        <w:t>al tratarse la Cuenta de Inversión en la Legislatura Provincial, surgiría</w:t>
      </w:r>
      <w:r w:rsidR="0016626F">
        <w:rPr>
          <w:rFonts w:cstheme="minorHAnsi"/>
          <w:sz w:val="28"/>
          <w:szCs w:val="28"/>
        </w:rPr>
        <w:t xml:space="preserve"> el debate </w:t>
      </w:r>
      <w:r w:rsidR="00B16D07" w:rsidRPr="00934AB8">
        <w:rPr>
          <w:rFonts w:cstheme="minorHAnsi"/>
          <w:sz w:val="28"/>
          <w:szCs w:val="28"/>
        </w:rPr>
        <w:t xml:space="preserve">con respecto </w:t>
      </w:r>
      <w:r w:rsidR="00963353" w:rsidRPr="00934AB8">
        <w:rPr>
          <w:rFonts w:cstheme="minorHAnsi"/>
          <w:sz w:val="28"/>
          <w:szCs w:val="28"/>
        </w:rPr>
        <w:t xml:space="preserve">a la supuesta falta de dinero a diciembre del 2023, expresándose en estas cuentas que a diciembre la provincia contaba con más de $100.000.000.000 (cien mil millones de pesos), monto </w:t>
      </w:r>
      <w:r w:rsidR="00963353" w:rsidRPr="00934AB8">
        <w:rPr>
          <w:rFonts w:cstheme="minorHAnsi"/>
          <w:sz w:val="28"/>
          <w:szCs w:val="28"/>
        </w:rPr>
        <w:lastRenderedPageBreak/>
        <w:t xml:space="preserve">suficiente para hacer frente a todos los compromisos económicos asumidos, incluyendo el pago de salarios. Todo esto quedó en evidencia con la </w:t>
      </w:r>
      <w:r w:rsidR="00EC1144" w:rsidRPr="00934AB8">
        <w:rPr>
          <w:rFonts w:cstheme="minorHAnsi"/>
          <w:sz w:val="28"/>
          <w:szCs w:val="28"/>
        </w:rPr>
        <w:t xml:space="preserve">noticia de la </w:t>
      </w:r>
      <w:r w:rsidR="00963353" w:rsidRPr="00934AB8">
        <w:rPr>
          <w:rFonts w:cstheme="minorHAnsi"/>
          <w:sz w:val="28"/>
          <w:szCs w:val="28"/>
        </w:rPr>
        <w:t>conformación de 19 plazos fijos</w:t>
      </w:r>
      <w:r w:rsidR="00AF4978" w:rsidRPr="008579D9">
        <w:rPr>
          <w:rFonts w:cstheme="minorHAnsi"/>
          <w:sz w:val="28"/>
          <w:szCs w:val="28"/>
        </w:rPr>
        <w:t>, lo que fue confirmado por el propio Gobernador a pesar de las maniobras de querer ocultarlo con el envío incompleto de la documentación remitida por el Tribunal de cuentas de la Provincia.</w:t>
      </w:r>
    </w:p>
    <w:p w14:paraId="2F83367B" w14:textId="2DBF3E76" w:rsidR="00EC1144" w:rsidRPr="00934AB8" w:rsidRDefault="00EC1144" w:rsidP="00963353">
      <w:pPr>
        <w:jc w:val="both"/>
        <w:rPr>
          <w:rFonts w:cstheme="minorHAnsi"/>
          <w:sz w:val="28"/>
          <w:szCs w:val="28"/>
        </w:rPr>
      </w:pPr>
      <w:r w:rsidRPr="00934AB8">
        <w:rPr>
          <w:rFonts w:cstheme="minorHAnsi"/>
          <w:sz w:val="28"/>
          <w:szCs w:val="28"/>
        </w:rPr>
        <w:t xml:space="preserve">Otro aspecto que ha llamado poderosamente la atención ha sido la comparación entre los montos efectivamente recibidos por coparticipación federal de impuestos y los que se calculaban recibir en las programaciones financieras, que otorgan un saldo a favor de libre disponibilidad para el Ejecutivo Provincial de más de 62 mil millones de pesos. Caso similar es lo que ocurrió con los montos efectivamente recibidos por recaudación de impuestos provinciales y los que se calculaban recibir en </w:t>
      </w:r>
      <w:r w:rsidR="00A751B1" w:rsidRPr="00934AB8">
        <w:rPr>
          <w:rFonts w:cstheme="minorHAnsi"/>
          <w:sz w:val="28"/>
          <w:szCs w:val="28"/>
        </w:rPr>
        <w:t>las programaciones financieras, que también otorgan un saldo a favor de libre disponibilidad para el Ejecutivo Provincial, en este caso por más de 13 mil millones de pesos. Ambos montos, invertidos en el mercado financiero, totalizarían casi 100 mil millones de pesos.</w:t>
      </w:r>
    </w:p>
    <w:p w14:paraId="1CCBF575" w14:textId="2CE8D828" w:rsidR="00A751B1" w:rsidRPr="00934AB8" w:rsidRDefault="00AF047C" w:rsidP="00963353">
      <w:pPr>
        <w:jc w:val="both"/>
        <w:rPr>
          <w:rFonts w:cstheme="minorHAnsi"/>
          <w:sz w:val="28"/>
          <w:szCs w:val="28"/>
        </w:rPr>
      </w:pPr>
      <w:r w:rsidRPr="008579D9">
        <w:rPr>
          <w:rFonts w:cstheme="minorHAnsi"/>
          <w:sz w:val="28"/>
          <w:szCs w:val="28"/>
        </w:rPr>
        <w:t>No debemos dejar de mencionar</w:t>
      </w:r>
      <w:r>
        <w:rPr>
          <w:rFonts w:cstheme="minorHAnsi"/>
          <w:sz w:val="28"/>
          <w:szCs w:val="28"/>
        </w:rPr>
        <w:t xml:space="preserve"> </w:t>
      </w:r>
      <w:r w:rsidR="00A751B1" w:rsidRPr="00934AB8">
        <w:rPr>
          <w:rFonts w:cstheme="minorHAnsi"/>
          <w:sz w:val="28"/>
          <w:szCs w:val="28"/>
        </w:rPr>
        <w:t xml:space="preserve">otras situaciones relacionadas al manejo de la economía provincial que deben </w:t>
      </w:r>
      <w:r>
        <w:rPr>
          <w:rFonts w:cstheme="minorHAnsi"/>
          <w:sz w:val="28"/>
          <w:szCs w:val="28"/>
        </w:rPr>
        <w:t>(</w:t>
      </w:r>
      <w:r w:rsidRPr="008579D9">
        <w:rPr>
          <w:rFonts w:cstheme="minorHAnsi"/>
          <w:sz w:val="28"/>
          <w:szCs w:val="28"/>
        </w:rPr>
        <w:t>ac</w:t>
      </w:r>
      <w:r w:rsidR="008579D9">
        <w:rPr>
          <w:rFonts w:cstheme="minorHAnsi"/>
          <w:sz w:val="28"/>
          <w:szCs w:val="28"/>
        </w:rPr>
        <w:t>á</w:t>
      </w:r>
      <w:r w:rsidRPr="008579D9">
        <w:rPr>
          <w:rFonts w:cstheme="minorHAnsi"/>
          <w:sz w:val="28"/>
          <w:szCs w:val="28"/>
        </w:rPr>
        <w:t xml:space="preserve"> reside la diferencia entre poder y deber)</w:t>
      </w:r>
      <w:r>
        <w:rPr>
          <w:rFonts w:cstheme="minorHAnsi"/>
          <w:sz w:val="28"/>
          <w:szCs w:val="28"/>
        </w:rPr>
        <w:t xml:space="preserve"> </w:t>
      </w:r>
      <w:r w:rsidR="00A751B1" w:rsidRPr="00934AB8">
        <w:rPr>
          <w:rFonts w:cstheme="minorHAnsi"/>
          <w:sz w:val="28"/>
          <w:szCs w:val="28"/>
        </w:rPr>
        <w:t xml:space="preserve">ser tenidas en cuenta y que justifican sobremanera este pedido de interpelación. Entre ellas </w:t>
      </w:r>
      <w:r w:rsidR="006A5FE5" w:rsidRPr="008579D9">
        <w:rPr>
          <w:rFonts w:cstheme="minorHAnsi"/>
          <w:sz w:val="28"/>
          <w:szCs w:val="28"/>
        </w:rPr>
        <w:t>mencionamos a título enunciativo</w:t>
      </w:r>
      <w:r w:rsidR="006A5FE5">
        <w:rPr>
          <w:rFonts w:cstheme="minorHAnsi"/>
          <w:sz w:val="28"/>
          <w:szCs w:val="28"/>
        </w:rPr>
        <w:t>,</w:t>
      </w:r>
      <w:r w:rsidR="00A751B1" w:rsidRPr="00934AB8">
        <w:rPr>
          <w:rFonts w:cstheme="minorHAnsi"/>
          <w:sz w:val="28"/>
          <w:szCs w:val="28"/>
        </w:rPr>
        <w:t xml:space="preserve"> anticipos de coparticipación a favor de la ciudad de San Luis por más de 7 mil millones de pesos, ampliación de partidas a la Secretaría de Comunicación por más de mil quinientos millones de pesos, la reincorporación de San Luis al Consejo Federal de Inversiones y los millonarios costos que esto implicó</w:t>
      </w:r>
      <w:r w:rsidR="008579D9">
        <w:rPr>
          <w:rFonts w:cstheme="minorHAnsi"/>
          <w:sz w:val="28"/>
          <w:szCs w:val="28"/>
        </w:rPr>
        <w:t>.</w:t>
      </w:r>
    </w:p>
    <w:p w14:paraId="5C879C20" w14:textId="04BBD4DB" w:rsidR="00A751B1" w:rsidRDefault="00A14515" w:rsidP="00963353">
      <w:pPr>
        <w:jc w:val="both"/>
        <w:rPr>
          <w:rFonts w:cstheme="minorHAnsi"/>
          <w:sz w:val="28"/>
          <w:szCs w:val="28"/>
        </w:rPr>
      </w:pPr>
      <w:r w:rsidRPr="008579D9">
        <w:rPr>
          <w:rFonts w:cstheme="minorHAnsi"/>
          <w:sz w:val="28"/>
          <w:szCs w:val="28"/>
        </w:rPr>
        <w:t>Conjuntamente</w:t>
      </w:r>
      <w:r w:rsidR="00E0125C">
        <w:rPr>
          <w:rFonts w:cstheme="minorHAnsi"/>
          <w:sz w:val="28"/>
          <w:szCs w:val="28"/>
        </w:rPr>
        <w:t xml:space="preserve"> </w:t>
      </w:r>
      <w:r w:rsidR="00A751B1" w:rsidRPr="00934AB8">
        <w:rPr>
          <w:rFonts w:cstheme="minorHAnsi"/>
          <w:sz w:val="28"/>
          <w:szCs w:val="28"/>
        </w:rPr>
        <w:t>resulta sumamente necesario destinar un análisis a la alarman</w:t>
      </w:r>
      <w:r w:rsidR="003B2EC8" w:rsidRPr="00934AB8">
        <w:rPr>
          <w:rFonts w:cstheme="minorHAnsi"/>
          <w:sz w:val="28"/>
          <w:szCs w:val="28"/>
        </w:rPr>
        <w:t>te situación económica que viven cada uno de los empleados que dependen de la administración pública provincial</w:t>
      </w:r>
      <w:r w:rsidR="008579D9">
        <w:rPr>
          <w:rFonts w:cstheme="minorHAnsi"/>
          <w:sz w:val="28"/>
          <w:szCs w:val="28"/>
        </w:rPr>
        <w:t xml:space="preserve">. </w:t>
      </w:r>
      <w:r w:rsidR="003B2EC8" w:rsidRPr="00934AB8">
        <w:rPr>
          <w:rFonts w:cstheme="minorHAnsi"/>
          <w:sz w:val="28"/>
          <w:szCs w:val="28"/>
        </w:rPr>
        <w:t xml:space="preserve">Docentes, médicos, personal de salud, policías, empleados públicos, empleados judiciales, han perdido su poder adquisitivo en más de un 90%. </w:t>
      </w:r>
    </w:p>
    <w:p w14:paraId="34E1794D" w14:textId="547970A6" w:rsidR="007508CB" w:rsidRPr="00934AB8" w:rsidRDefault="007508CB" w:rsidP="00963353">
      <w:pPr>
        <w:jc w:val="both"/>
        <w:rPr>
          <w:rFonts w:cstheme="minorHAnsi"/>
          <w:sz w:val="28"/>
          <w:szCs w:val="28"/>
        </w:rPr>
      </w:pPr>
      <w:r>
        <w:rPr>
          <w:rFonts w:cstheme="minorHAnsi"/>
          <w:sz w:val="28"/>
          <w:szCs w:val="28"/>
        </w:rPr>
        <w:t>Es por todo ello que</w:t>
      </w:r>
    </w:p>
    <w:p w14:paraId="3D8F68A5" w14:textId="117A9D35" w:rsidR="00A751B1" w:rsidRPr="00934AB8" w:rsidRDefault="00A751B1" w:rsidP="00963353">
      <w:pPr>
        <w:jc w:val="both"/>
        <w:rPr>
          <w:rFonts w:cstheme="minorHAnsi"/>
          <w:sz w:val="28"/>
          <w:szCs w:val="28"/>
        </w:rPr>
      </w:pPr>
    </w:p>
    <w:p w14:paraId="297D96E9" w14:textId="52132BDB" w:rsidR="00A751B1" w:rsidRPr="00934AB8" w:rsidRDefault="00A751B1" w:rsidP="00963353">
      <w:pPr>
        <w:jc w:val="both"/>
        <w:rPr>
          <w:rFonts w:cstheme="minorHAnsi"/>
          <w:sz w:val="28"/>
          <w:szCs w:val="28"/>
        </w:rPr>
      </w:pPr>
    </w:p>
    <w:p w14:paraId="448647C6" w14:textId="77777777" w:rsidR="00A751B1" w:rsidRPr="00934AB8" w:rsidRDefault="00A751B1" w:rsidP="00963353">
      <w:pPr>
        <w:jc w:val="both"/>
        <w:rPr>
          <w:rFonts w:cstheme="minorHAnsi"/>
          <w:sz w:val="28"/>
          <w:szCs w:val="28"/>
        </w:rPr>
      </w:pPr>
    </w:p>
    <w:p w14:paraId="724D97F7" w14:textId="77777777" w:rsidR="00B16D07" w:rsidRPr="00934AB8" w:rsidRDefault="00B16D07" w:rsidP="007508CB">
      <w:pPr>
        <w:rPr>
          <w:rFonts w:cstheme="minorHAnsi"/>
          <w:b/>
          <w:bCs/>
          <w:sz w:val="28"/>
          <w:szCs w:val="28"/>
        </w:rPr>
      </w:pPr>
    </w:p>
    <w:p w14:paraId="1A2B5B01" w14:textId="77777777" w:rsidR="007508CB" w:rsidRPr="00B451A0" w:rsidRDefault="007508CB" w:rsidP="007508CB">
      <w:pPr>
        <w:jc w:val="center"/>
        <w:rPr>
          <w:rFonts w:ascii="Calibri" w:eastAsia="Calibri" w:hAnsi="Calibri" w:cs="Calibri"/>
          <w:b/>
          <w:bCs/>
          <w:sz w:val="28"/>
          <w:szCs w:val="28"/>
        </w:rPr>
      </w:pPr>
      <w:r w:rsidRPr="00B451A0">
        <w:rPr>
          <w:rFonts w:ascii="Calibri" w:eastAsia="Calibri" w:hAnsi="Calibri" w:cs="Calibri"/>
          <w:b/>
          <w:bCs/>
          <w:sz w:val="28"/>
          <w:szCs w:val="28"/>
        </w:rPr>
        <w:lastRenderedPageBreak/>
        <w:t>LA HONORABLE CAMARA DE DIPUTADOS DE LA PROVINCIA DE SAN LUIS</w:t>
      </w:r>
    </w:p>
    <w:p w14:paraId="73D42DF7" w14:textId="6A3EC296" w:rsidR="001A7E96" w:rsidRPr="007508CB" w:rsidRDefault="007508CB" w:rsidP="007508CB">
      <w:pPr>
        <w:jc w:val="center"/>
        <w:rPr>
          <w:rFonts w:ascii="Calibri" w:eastAsia="Calibri" w:hAnsi="Calibri" w:cs="Calibri"/>
          <w:b/>
          <w:bCs/>
          <w:sz w:val="28"/>
          <w:szCs w:val="28"/>
        </w:rPr>
      </w:pPr>
      <w:r w:rsidRPr="00B451A0">
        <w:rPr>
          <w:rFonts w:ascii="Calibri" w:eastAsia="Calibri" w:hAnsi="Calibri" w:cs="Calibri"/>
          <w:b/>
          <w:bCs/>
          <w:sz w:val="28"/>
          <w:szCs w:val="28"/>
        </w:rPr>
        <w:t>DECLARA:</w:t>
      </w:r>
    </w:p>
    <w:p w14:paraId="5CF1A489" w14:textId="700DBAAD" w:rsidR="00136B20" w:rsidRPr="00934AB8" w:rsidRDefault="001A7E96" w:rsidP="00136B20">
      <w:pPr>
        <w:jc w:val="both"/>
        <w:rPr>
          <w:rFonts w:cstheme="minorHAnsi"/>
          <w:sz w:val="28"/>
          <w:szCs w:val="28"/>
        </w:rPr>
      </w:pPr>
      <w:r w:rsidRPr="00934AB8">
        <w:rPr>
          <w:rFonts w:cstheme="minorHAnsi"/>
          <w:b/>
          <w:bCs/>
          <w:sz w:val="28"/>
          <w:szCs w:val="28"/>
        </w:rPr>
        <w:t xml:space="preserve">Art. 1 – </w:t>
      </w:r>
      <w:r w:rsidRPr="00934AB8">
        <w:rPr>
          <w:rFonts w:cstheme="minorHAnsi"/>
          <w:sz w:val="28"/>
          <w:szCs w:val="28"/>
        </w:rPr>
        <w:t xml:space="preserve">Citar al ministro de Hacienda y Obras Públicas de la provincia de San Luis, C.P.N. Néstor Ordoñez, de conformidad con lo dispuesto en el Artículo 119 de la Constitución Provincial, para que comparezca en el término de 10 (diez) </w:t>
      </w:r>
      <w:r w:rsidR="00630E60">
        <w:rPr>
          <w:rFonts w:cstheme="minorHAnsi"/>
          <w:sz w:val="28"/>
          <w:szCs w:val="28"/>
        </w:rPr>
        <w:t xml:space="preserve">hábiles </w:t>
      </w:r>
      <w:r w:rsidRPr="00934AB8">
        <w:rPr>
          <w:rFonts w:cstheme="minorHAnsi"/>
          <w:sz w:val="28"/>
          <w:szCs w:val="28"/>
        </w:rPr>
        <w:t>días ante la Honorable Cámara de Diputados de la provincia de San Luis, a fines de presentar a los miembros del Cuerpo un informe detallado y preciso sobre:</w:t>
      </w:r>
    </w:p>
    <w:p w14:paraId="5A7CF580" w14:textId="0AA56217" w:rsidR="001A7E96" w:rsidRPr="00934AB8" w:rsidRDefault="001A7E96" w:rsidP="001A7E96">
      <w:pPr>
        <w:pStyle w:val="Prrafodelista"/>
        <w:numPr>
          <w:ilvl w:val="0"/>
          <w:numId w:val="3"/>
        </w:numPr>
        <w:shd w:val="clear" w:color="auto" w:fill="FFFFFF"/>
        <w:spacing w:after="0" w:line="360" w:lineRule="auto"/>
        <w:jc w:val="both"/>
        <w:rPr>
          <w:rFonts w:cstheme="minorHAnsi"/>
          <w:sz w:val="28"/>
          <w:szCs w:val="28"/>
        </w:rPr>
      </w:pPr>
      <w:r w:rsidRPr="00934AB8">
        <w:rPr>
          <w:rFonts w:cstheme="minorHAnsi"/>
          <w:sz w:val="28"/>
          <w:szCs w:val="28"/>
        </w:rPr>
        <w:t xml:space="preserve">Situación financiera del Gobierno de la provincia de San Luis al </w:t>
      </w:r>
      <w:r w:rsidR="00B16D07" w:rsidRPr="00934AB8">
        <w:rPr>
          <w:rFonts w:cstheme="minorHAnsi"/>
          <w:sz w:val="28"/>
          <w:szCs w:val="28"/>
        </w:rPr>
        <w:t>31</w:t>
      </w:r>
      <w:r w:rsidRPr="00934AB8">
        <w:rPr>
          <w:rFonts w:cstheme="minorHAnsi"/>
          <w:sz w:val="28"/>
          <w:szCs w:val="28"/>
        </w:rPr>
        <w:t xml:space="preserve"> de </w:t>
      </w:r>
      <w:proofErr w:type="gramStart"/>
      <w:r w:rsidRPr="00934AB8">
        <w:rPr>
          <w:rFonts w:cstheme="minorHAnsi"/>
          <w:sz w:val="28"/>
          <w:szCs w:val="28"/>
        </w:rPr>
        <w:t>Agosto</w:t>
      </w:r>
      <w:proofErr w:type="gramEnd"/>
      <w:r w:rsidRPr="00934AB8">
        <w:rPr>
          <w:rFonts w:cstheme="minorHAnsi"/>
          <w:sz w:val="28"/>
          <w:szCs w:val="28"/>
        </w:rPr>
        <w:t xml:space="preserve"> del 2024, que incluya:</w:t>
      </w:r>
    </w:p>
    <w:p w14:paraId="06E320DF" w14:textId="2210635E"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 xml:space="preserve">Saldo de cuentas corrientes en pesos </w:t>
      </w:r>
      <w:bookmarkStart w:id="0" w:name="_Hlk155779549"/>
      <w:r w:rsidRPr="00934AB8">
        <w:rPr>
          <w:rFonts w:cstheme="minorHAnsi"/>
          <w:sz w:val="28"/>
          <w:szCs w:val="28"/>
        </w:rPr>
        <w:t>del Gobierno de la provincia de San Luis</w:t>
      </w:r>
      <w:bookmarkEnd w:id="0"/>
      <w:r w:rsidRPr="00934AB8">
        <w:rPr>
          <w:rFonts w:cstheme="minorHAnsi"/>
          <w:sz w:val="28"/>
          <w:szCs w:val="28"/>
        </w:rPr>
        <w:t xml:space="preserve"> en el Banco</w:t>
      </w:r>
      <w:r w:rsidR="008579D9">
        <w:rPr>
          <w:rFonts w:cstheme="minorHAnsi"/>
          <w:sz w:val="28"/>
          <w:szCs w:val="28"/>
        </w:rPr>
        <w:t xml:space="preserve"> </w:t>
      </w:r>
      <w:r w:rsidRPr="00934AB8">
        <w:rPr>
          <w:rFonts w:cstheme="minorHAnsi"/>
          <w:sz w:val="28"/>
          <w:szCs w:val="28"/>
        </w:rPr>
        <w:t>Supervielle, Banco Nación Argentina</w:t>
      </w:r>
      <w:r w:rsidR="008579D9">
        <w:rPr>
          <w:rFonts w:cstheme="minorHAnsi"/>
          <w:sz w:val="28"/>
          <w:szCs w:val="28"/>
        </w:rPr>
        <w:t>,</w:t>
      </w:r>
      <w:r w:rsidRPr="00934AB8">
        <w:rPr>
          <w:rFonts w:cstheme="minorHAnsi"/>
          <w:sz w:val="28"/>
          <w:szCs w:val="28"/>
        </w:rPr>
        <w:t xml:space="preserve"> Banco Hipotecario</w:t>
      </w:r>
      <w:r w:rsidR="008579D9">
        <w:rPr>
          <w:rFonts w:cstheme="minorHAnsi"/>
          <w:sz w:val="28"/>
          <w:szCs w:val="28"/>
        </w:rPr>
        <w:t>, y cualquier otra entidad bancaria.</w:t>
      </w:r>
    </w:p>
    <w:p w14:paraId="5270B7AB"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de Cauciones del Gobierno de la provincia de San Luis en el Banco Nación Argentina.</w:t>
      </w:r>
    </w:p>
    <w:p w14:paraId="4942FEDA"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en pesos de títulos públicos.</w:t>
      </w:r>
    </w:p>
    <w:p w14:paraId="2A37C1F8"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en pesos de las inversiones.</w:t>
      </w:r>
    </w:p>
    <w:p w14:paraId="38191997"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total de las reservas en moneda argentina.</w:t>
      </w:r>
      <w:bookmarkStart w:id="1" w:name="_Hlk155779665"/>
    </w:p>
    <w:p w14:paraId="35F78F2C" w14:textId="743119DC"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de cuentas corrientes en dólares en el Banco Supervielle</w:t>
      </w:r>
      <w:bookmarkEnd w:id="1"/>
      <w:r w:rsidRPr="00934AB8">
        <w:rPr>
          <w:rFonts w:cstheme="minorHAnsi"/>
          <w:sz w:val="28"/>
          <w:szCs w:val="28"/>
        </w:rPr>
        <w:t>, en el Banco Nación Argentina y en el Banco Hipotecario.</w:t>
      </w:r>
    </w:p>
    <w:p w14:paraId="753C523D"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de cuentas corrientes en euros en el Banco Supervielle.</w:t>
      </w:r>
    </w:p>
    <w:p w14:paraId="262BE466" w14:textId="19F9E036"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 xml:space="preserve">Saldo total de las reservas en moneda extranjera del Gobierno de la provincia de San Luis al </w:t>
      </w:r>
      <w:r w:rsidR="00B16D07" w:rsidRPr="00934AB8">
        <w:rPr>
          <w:rFonts w:cstheme="minorHAnsi"/>
          <w:sz w:val="28"/>
          <w:szCs w:val="28"/>
        </w:rPr>
        <w:t>31</w:t>
      </w:r>
      <w:r w:rsidRPr="00934AB8">
        <w:rPr>
          <w:rFonts w:cstheme="minorHAnsi"/>
          <w:sz w:val="28"/>
          <w:szCs w:val="28"/>
        </w:rPr>
        <w:t xml:space="preserve"> de agosto de 2024.</w:t>
      </w:r>
    </w:p>
    <w:p w14:paraId="7CE5E8CE" w14:textId="08EE0D2F"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cuentas de fondos de terceros en el Banco Supervielle y en el Banco Nación Argentina.</w:t>
      </w:r>
    </w:p>
    <w:p w14:paraId="1B21192E"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Saldo cuentas Administradas de Fondos de terceros del Banco Nación Argentina.</w:t>
      </w:r>
    </w:p>
    <w:p w14:paraId="5FCFB461" w14:textId="77777777" w:rsidR="001A7E96" w:rsidRPr="00934AB8" w:rsidRDefault="001A7E96" w:rsidP="001A7E96">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lastRenderedPageBreak/>
        <w:t>Retenciones de AFIP (F.931 – SUP) no reintegrados por Entes, Municipios y S.E.</w:t>
      </w:r>
    </w:p>
    <w:p w14:paraId="3E47CFB2" w14:textId="1D6A1129" w:rsidR="001A7E96" w:rsidRPr="00934AB8" w:rsidRDefault="007508CB" w:rsidP="001A7E96">
      <w:pPr>
        <w:pStyle w:val="Prrafodelista"/>
        <w:numPr>
          <w:ilvl w:val="0"/>
          <w:numId w:val="6"/>
        </w:numPr>
        <w:shd w:val="clear" w:color="auto" w:fill="FFFFFF"/>
        <w:spacing w:after="0" w:line="360" w:lineRule="auto"/>
        <w:jc w:val="both"/>
        <w:rPr>
          <w:rFonts w:cstheme="minorHAnsi"/>
          <w:sz w:val="28"/>
          <w:szCs w:val="28"/>
        </w:rPr>
      </w:pPr>
      <w:r>
        <w:rPr>
          <w:rFonts w:cstheme="minorHAnsi"/>
          <w:sz w:val="28"/>
          <w:szCs w:val="28"/>
        </w:rPr>
        <w:t xml:space="preserve">Saldo de cuentas de </w:t>
      </w:r>
      <w:r w:rsidR="001A7E96" w:rsidRPr="00934AB8">
        <w:rPr>
          <w:rFonts w:cstheme="minorHAnsi"/>
          <w:sz w:val="28"/>
          <w:szCs w:val="28"/>
        </w:rPr>
        <w:t>Estampillas de Ahorro escolares.</w:t>
      </w:r>
    </w:p>
    <w:p w14:paraId="63F7AD10" w14:textId="50E62D7F" w:rsidR="001A7E96" w:rsidRPr="00934AB8" w:rsidRDefault="007508CB" w:rsidP="001A7E96">
      <w:pPr>
        <w:pStyle w:val="Prrafodelista"/>
        <w:numPr>
          <w:ilvl w:val="0"/>
          <w:numId w:val="6"/>
        </w:numPr>
        <w:shd w:val="clear" w:color="auto" w:fill="FFFFFF"/>
        <w:spacing w:after="0" w:line="360" w:lineRule="auto"/>
        <w:jc w:val="both"/>
        <w:rPr>
          <w:rFonts w:cstheme="minorHAnsi"/>
          <w:sz w:val="28"/>
          <w:szCs w:val="28"/>
        </w:rPr>
      </w:pPr>
      <w:r>
        <w:rPr>
          <w:rFonts w:cstheme="minorHAnsi"/>
          <w:sz w:val="28"/>
          <w:szCs w:val="28"/>
        </w:rPr>
        <w:t xml:space="preserve">Saldo de cuentas de </w:t>
      </w:r>
      <w:r w:rsidR="001A7E96" w:rsidRPr="00934AB8">
        <w:rPr>
          <w:rFonts w:cstheme="minorHAnsi"/>
          <w:sz w:val="28"/>
          <w:szCs w:val="28"/>
        </w:rPr>
        <w:t>Estampillas de Ahorro.</w:t>
      </w:r>
    </w:p>
    <w:p w14:paraId="2FB73101" w14:textId="74FFDB48" w:rsidR="001A7E96" w:rsidRDefault="001A7E96" w:rsidP="001A7E96">
      <w:pPr>
        <w:pStyle w:val="Prrafodelista"/>
        <w:numPr>
          <w:ilvl w:val="0"/>
          <w:numId w:val="6"/>
        </w:numPr>
        <w:shd w:val="clear" w:color="auto" w:fill="FFFFFF"/>
        <w:spacing w:after="0" w:line="360" w:lineRule="auto"/>
        <w:jc w:val="both"/>
        <w:rPr>
          <w:rFonts w:cstheme="minorHAnsi"/>
          <w:sz w:val="28"/>
          <w:szCs w:val="28"/>
        </w:rPr>
      </w:pPr>
      <w:proofErr w:type="gramStart"/>
      <w:r w:rsidRPr="00934AB8">
        <w:rPr>
          <w:rFonts w:cstheme="minorHAnsi"/>
          <w:sz w:val="28"/>
          <w:szCs w:val="28"/>
        </w:rPr>
        <w:t>Total</w:t>
      </w:r>
      <w:proofErr w:type="gramEnd"/>
      <w:r w:rsidRPr="00934AB8">
        <w:rPr>
          <w:rFonts w:cstheme="minorHAnsi"/>
          <w:sz w:val="28"/>
          <w:szCs w:val="28"/>
        </w:rPr>
        <w:t xml:space="preserve"> de reservas netas al </w:t>
      </w:r>
      <w:r w:rsidR="00B16D07" w:rsidRPr="00934AB8">
        <w:rPr>
          <w:rFonts w:cstheme="minorHAnsi"/>
          <w:sz w:val="28"/>
          <w:szCs w:val="28"/>
        </w:rPr>
        <w:t>31</w:t>
      </w:r>
      <w:r w:rsidRPr="00934AB8">
        <w:rPr>
          <w:rFonts w:cstheme="minorHAnsi"/>
          <w:sz w:val="28"/>
          <w:szCs w:val="28"/>
        </w:rPr>
        <w:t xml:space="preserve"> de agosto de 2024</w:t>
      </w:r>
      <w:r w:rsidR="007508CB">
        <w:rPr>
          <w:rFonts w:cstheme="minorHAnsi"/>
          <w:sz w:val="28"/>
          <w:szCs w:val="28"/>
        </w:rPr>
        <w:t>`</w:t>
      </w:r>
    </w:p>
    <w:p w14:paraId="208978F7" w14:textId="0680803E" w:rsidR="007508CB" w:rsidRPr="007508CB" w:rsidRDefault="007508CB" w:rsidP="007508CB">
      <w:pPr>
        <w:pStyle w:val="Prrafodelista"/>
        <w:numPr>
          <w:ilvl w:val="0"/>
          <w:numId w:val="6"/>
        </w:numPr>
        <w:shd w:val="clear" w:color="auto" w:fill="FFFFFF"/>
        <w:spacing w:after="0" w:line="360" w:lineRule="auto"/>
        <w:jc w:val="both"/>
        <w:rPr>
          <w:rFonts w:cstheme="minorHAnsi"/>
          <w:sz w:val="28"/>
          <w:szCs w:val="28"/>
        </w:rPr>
      </w:pPr>
      <w:r w:rsidRPr="007508CB">
        <w:rPr>
          <w:rFonts w:cstheme="minorHAnsi"/>
          <w:sz w:val="28"/>
          <w:szCs w:val="28"/>
        </w:rPr>
        <w:t xml:space="preserve">Recaudación por </w:t>
      </w:r>
      <w:r>
        <w:rPr>
          <w:rFonts w:cstheme="minorHAnsi"/>
          <w:sz w:val="28"/>
          <w:szCs w:val="28"/>
        </w:rPr>
        <w:t>M</w:t>
      </w:r>
      <w:r w:rsidRPr="007508CB">
        <w:rPr>
          <w:rFonts w:cstheme="minorHAnsi"/>
          <w:sz w:val="28"/>
          <w:szCs w:val="28"/>
        </w:rPr>
        <w:t xml:space="preserve">oratoria </w:t>
      </w:r>
      <w:r>
        <w:rPr>
          <w:rFonts w:cstheme="minorHAnsi"/>
          <w:sz w:val="28"/>
          <w:szCs w:val="28"/>
        </w:rPr>
        <w:t xml:space="preserve">Ley VIII-1116-2024 </w:t>
      </w:r>
      <w:r w:rsidRPr="007508CB">
        <w:rPr>
          <w:rFonts w:cstheme="minorHAnsi"/>
          <w:sz w:val="28"/>
          <w:szCs w:val="28"/>
        </w:rPr>
        <w:t xml:space="preserve">e imputación de esos ingresos </w:t>
      </w:r>
    </w:p>
    <w:p w14:paraId="168C5444" w14:textId="77777777" w:rsidR="007508CB" w:rsidRPr="007508CB" w:rsidRDefault="007508CB" w:rsidP="007508CB">
      <w:pPr>
        <w:shd w:val="clear" w:color="auto" w:fill="FFFFFF"/>
        <w:spacing w:after="0" w:line="360" w:lineRule="auto"/>
        <w:ind w:left="360"/>
        <w:jc w:val="both"/>
        <w:rPr>
          <w:rFonts w:cstheme="minorHAnsi"/>
          <w:sz w:val="28"/>
          <w:szCs w:val="28"/>
        </w:rPr>
      </w:pPr>
    </w:p>
    <w:p w14:paraId="44AF370F" w14:textId="2A71C4D4" w:rsidR="00B16D07" w:rsidRPr="00934AB8" w:rsidRDefault="00B16D07" w:rsidP="00B16D07">
      <w:pPr>
        <w:pStyle w:val="Prrafodelista"/>
        <w:numPr>
          <w:ilvl w:val="0"/>
          <w:numId w:val="3"/>
        </w:numPr>
        <w:shd w:val="clear" w:color="auto" w:fill="FFFFFF"/>
        <w:spacing w:after="0" w:line="360" w:lineRule="auto"/>
        <w:jc w:val="both"/>
        <w:rPr>
          <w:rFonts w:cstheme="minorHAnsi"/>
          <w:sz w:val="28"/>
          <w:szCs w:val="28"/>
        </w:rPr>
      </w:pPr>
      <w:r w:rsidRPr="00934AB8">
        <w:rPr>
          <w:rFonts w:cstheme="minorHAnsi"/>
          <w:sz w:val="28"/>
          <w:szCs w:val="28"/>
        </w:rPr>
        <w:t>Información sobre los plazos fijos creados en el mes de diciembre del 2023, que incluya:</w:t>
      </w:r>
    </w:p>
    <w:p w14:paraId="1D28E95E" w14:textId="63E56BFA" w:rsidR="00B16D07" w:rsidRDefault="007508CB" w:rsidP="00B16D07">
      <w:pPr>
        <w:pStyle w:val="Prrafodelista"/>
        <w:numPr>
          <w:ilvl w:val="0"/>
          <w:numId w:val="6"/>
        </w:numPr>
        <w:shd w:val="clear" w:color="auto" w:fill="FFFFFF"/>
        <w:spacing w:after="0" w:line="360" w:lineRule="auto"/>
        <w:jc w:val="both"/>
        <w:rPr>
          <w:rFonts w:cstheme="minorHAnsi"/>
          <w:sz w:val="28"/>
          <w:szCs w:val="28"/>
        </w:rPr>
      </w:pPr>
      <w:r w:rsidRPr="007508CB">
        <w:rPr>
          <w:rFonts w:cstheme="minorHAnsi"/>
          <w:sz w:val="28"/>
          <w:szCs w:val="28"/>
        </w:rPr>
        <w:t>Cantidad de plazos fijos creados, montos de cada uno de ellos. Fecha de acreditación, condiciones, tipo de plazo fijo, imputación de intereses, negociación de tasas y demás información relacionada con inversiones transitorias realizadas por el ejecutivo provincial</w:t>
      </w:r>
      <w:r>
        <w:rPr>
          <w:rFonts w:cstheme="minorHAnsi"/>
          <w:sz w:val="28"/>
          <w:szCs w:val="28"/>
        </w:rPr>
        <w:t>.</w:t>
      </w:r>
    </w:p>
    <w:p w14:paraId="736C484F" w14:textId="77777777" w:rsidR="007508CB" w:rsidRPr="007508CB" w:rsidRDefault="007508CB" w:rsidP="007508CB">
      <w:pPr>
        <w:pStyle w:val="Prrafodelista"/>
        <w:shd w:val="clear" w:color="auto" w:fill="FFFFFF"/>
        <w:spacing w:after="0" w:line="360" w:lineRule="auto"/>
        <w:ind w:left="360"/>
        <w:jc w:val="both"/>
        <w:rPr>
          <w:rFonts w:cstheme="minorHAnsi"/>
          <w:sz w:val="28"/>
          <w:szCs w:val="28"/>
        </w:rPr>
      </w:pPr>
    </w:p>
    <w:p w14:paraId="34D585A0" w14:textId="77777777" w:rsidR="00136B20" w:rsidRPr="00934AB8" w:rsidRDefault="00136B20" w:rsidP="007508CB">
      <w:pPr>
        <w:pStyle w:val="Prrafodelista"/>
        <w:numPr>
          <w:ilvl w:val="0"/>
          <w:numId w:val="3"/>
        </w:numPr>
        <w:shd w:val="clear" w:color="auto" w:fill="FFFFFF"/>
        <w:spacing w:after="0" w:line="360" w:lineRule="auto"/>
        <w:jc w:val="both"/>
        <w:rPr>
          <w:rFonts w:cstheme="minorHAnsi"/>
          <w:sz w:val="28"/>
          <w:szCs w:val="28"/>
        </w:rPr>
      </w:pPr>
      <w:r w:rsidRPr="00934AB8">
        <w:rPr>
          <w:rFonts w:cstheme="minorHAnsi"/>
          <w:sz w:val="28"/>
          <w:szCs w:val="28"/>
        </w:rPr>
        <w:t>Información sobre los Anticipos Financieros otorgados a la Municipalidad de San Luis, que incluya:</w:t>
      </w:r>
    </w:p>
    <w:p w14:paraId="326E8A9D" w14:textId="73E5C8A6" w:rsidR="00136B20" w:rsidRPr="0016626F" w:rsidRDefault="00136B20" w:rsidP="0016626F">
      <w:pPr>
        <w:pStyle w:val="Prrafodelista"/>
        <w:numPr>
          <w:ilvl w:val="0"/>
          <w:numId w:val="6"/>
        </w:numPr>
        <w:shd w:val="clear" w:color="auto" w:fill="FFFFFF"/>
        <w:spacing w:after="0" w:line="360" w:lineRule="auto"/>
        <w:jc w:val="both"/>
        <w:rPr>
          <w:rFonts w:cstheme="minorHAnsi"/>
          <w:sz w:val="28"/>
          <w:szCs w:val="28"/>
        </w:rPr>
      </w:pPr>
      <w:r w:rsidRPr="0016626F">
        <w:rPr>
          <w:rFonts w:cstheme="minorHAnsi"/>
          <w:sz w:val="28"/>
          <w:szCs w:val="28"/>
        </w:rPr>
        <w:t>Cantidad de Anticipos Financieros otorgados, monto de cada uno de ellos, y fecha de las transferencias.</w:t>
      </w:r>
    </w:p>
    <w:p w14:paraId="2442F636" w14:textId="7FD3355D" w:rsidR="00136B20" w:rsidRPr="0016626F" w:rsidRDefault="00136B20" w:rsidP="0016626F">
      <w:pPr>
        <w:pStyle w:val="Prrafodelista"/>
        <w:numPr>
          <w:ilvl w:val="0"/>
          <w:numId w:val="6"/>
        </w:numPr>
        <w:shd w:val="clear" w:color="auto" w:fill="FFFFFF"/>
        <w:spacing w:after="0" w:line="360" w:lineRule="auto"/>
        <w:jc w:val="both"/>
        <w:rPr>
          <w:rFonts w:cstheme="minorHAnsi"/>
          <w:sz w:val="28"/>
          <w:szCs w:val="28"/>
        </w:rPr>
      </w:pPr>
      <w:r w:rsidRPr="0016626F">
        <w:rPr>
          <w:rFonts w:cstheme="minorHAnsi"/>
          <w:sz w:val="28"/>
          <w:szCs w:val="28"/>
        </w:rPr>
        <w:t>Razones por las que se determinó el otorgamiento de los mismos.</w:t>
      </w:r>
    </w:p>
    <w:p w14:paraId="3F3D3474" w14:textId="691D35FA" w:rsidR="00136B20" w:rsidRPr="0016626F" w:rsidRDefault="00136B20" w:rsidP="0016626F">
      <w:pPr>
        <w:pStyle w:val="Prrafodelista"/>
        <w:numPr>
          <w:ilvl w:val="0"/>
          <w:numId w:val="6"/>
        </w:numPr>
        <w:shd w:val="clear" w:color="auto" w:fill="FFFFFF"/>
        <w:spacing w:after="0" w:line="360" w:lineRule="auto"/>
        <w:jc w:val="both"/>
        <w:rPr>
          <w:rFonts w:cstheme="minorHAnsi"/>
          <w:sz w:val="28"/>
          <w:szCs w:val="28"/>
        </w:rPr>
      </w:pPr>
      <w:r w:rsidRPr="0016626F">
        <w:rPr>
          <w:rFonts w:cstheme="minorHAnsi"/>
          <w:sz w:val="28"/>
          <w:szCs w:val="28"/>
        </w:rPr>
        <w:t>Informe sobre si la Municipalidad de San Luis está cumpliendo con el pago de las cuotas de los mencionados anticipos de coparticipación.</w:t>
      </w:r>
    </w:p>
    <w:p w14:paraId="0A4D5E90" w14:textId="20F46487" w:rsidR="00136B20" w:rsidRPr="0016626F" w:rsidRDefault="00136B20" w:rsidP="0016626F">
      <w:pPr>
        <w:pStyle w:val="Prrafodelista"/>
        <w:numPr>
          <w:ilvl w:val="0"/>
          <w:numId w:val="6"/>
        </w:numPr>
        <w:shd w:val="clear" w:color="auto" w:fill="FFFFFF"/>
        <w:spacing w:after="0" w:line="360" w:lineRule="auto"/>
        <w:jc w:val="both"/>
        <w:rPr>
          <w:rFonts w:cstheme="minorHAnsi"/>
          <w:sz w:val="28"/>
          <w:szCs w:val="28"/>
        </w:rPr>
      </w:pPr>
      <w:r w:rsidRPr="0016626F">
        <w:rPr>
          <w:rFonts w:cstheme="minorHAnsi"/>
          <w:sz w:val="28"/>
          <w:szCs w:val="28"/>
        </w:rPr>
        <w:t>Tasa de interés acordada con la Municipalidad de San Luis para el cobr</w:t>
      </w:r>
      <w:r w:rsidR="00B16D07" w:rsidRPr="0016626F">
        <w:rPr>
          <w:rFonts w:cstheme="minorHAnsi"/>
          <w:sz w:val="28"/>
          <w:szCs w:val="28"/>
        </w:rPr>
        <w:t>o</w:t>
      </w:r>
      <w:r w:rsidRPr="0016626F">
        <w:rPr>
          <w:rFonts w:cstheme="minorHAnsi"/>
          <w:sz w:val="28"/>
          <w:szCs w:val="28"/>
        </w:rPr>
        <w:t xml:space="preserve"> de los anticipos de coparticipación mencionados.</w:t>
      </w:r>
    </w:p>
    <w:p w14:paraId="056A24B8" w14:textId="1744CBA0" w:rsidR="001A7E96" w:rsidRPr="00934AB8" w:rsidRDefault="001A7E96" w:rsidP="0016626F">
      <w:pPr>
        <w:pStyle w:val="Prrafodelista"/>
        <w:numPr>
          <w:ilvl w:val="0"/>
          <w:numId w:val="6"/>
        </w:numPr>
        <w:shd w:val="clear" w:color="auto" w:fill="FFFFFF"/>
        <w:spacing w:after="0" w:line="360" w:lineRule="auto"/>
        <w:jc w:val="both"/>
        <w:rPr>
          <w:rFonts w:cstheme="minorHAnsi"/>
          <w:sz w:val="28"/>
          <w:szCs w:val="28"/>
        </w:rPr>
      </w:pPr>
      <w:r w:rsidRPr="00934AB8">
        <w:rPr>
          <w:rFonts w:cstheme="minorHAnsi"/>
          <w:sz w:val="28"/>
          <w:szCs w:val="28"/>
        </w:rPr>
        <w:t xml:space="preserve">Informe si se han otorgado anticipos financieros a otros municipios y/o localidades de la provincia de San Luis. En caso afirmativo, mencione de qué </w:t>
      </w:r>
      <w:r w:rsidRPr="00934AB8">
        <w:rPr>
          <w:rFonts w:cstheme="minorHAnsi"/>
          <w:sz w:val="28"/>
          <w:szCs w:val="28"/>
        </w:rPr>
        <w:lastRenderedPageBreak/>
        <w:t xml:space="preserve">municipios se trata, </w:t>
      </w:r>
      <w:r w:rsidR="00136B20" w:rsidRPr="00934AB8">
        <w:rPr>
          <w:rFonts w:cstheme="minorHAnsi"/>
          <w:sz w:val="28"/>
          <w:szCs w:val="28"/>
        </w:rPr>
        <w:t xml:space="preserve">razones que justifiquen los anticipos, </w:t>
      </w:r>
      <w:r w:rsidRPr="00934AB8">
        <w:rPr>
          <w:rFonts w:cstheme="minorHAnsi"/>
          <w:sz w:val="28"/>
          <w:szCs w:val="28"/>
        </w:rPr>
        <w:t>montos, tasas de interés y formas de pago.</w:t>
      </w:r>
    </w:p>
    <w:p w14:paraId="196B7FC6" w14:textId="304DEDD3" w:rsidR="001A7E96" w:rsidRPr="00934AB8" w:rsidRDefault="00B16D07" w:rsidP="001A7E96">
      <w:pPr>
        <w:pStyle w:val="Prrafodelista"/>
        <w:numPr>
          <w:ilvl w:val="0"/>
          <w:numId w:val="3"/>
        </w:numPr>
        <w:shd w:val="clear" w:color="auto" w:fill="FFFFFF"/>
        <w:spacing w:after="0" w:line="360" w:lineRule="auto"/>
        <w:jc w:val="both"/>
        <w:rPr>
          <w:rFonts w:cstheme="minorHAnsi"/>
          <w:sz w:val="28"/>
          <w:szCs w:val="28"/>
        </w:rPr>
      </w:pPr>
      <w:r w:rsidRPr="00934AB8">
        <w:rPr>
          <w:rFonts w:cstheme="minorHAnsi"/>
          <w:sz w:val="28"/>
          <w:szCs w:val="28"/>
        </w:rPr>
        <w:t xml:space="preserve">Información sobre las razones que llevaron a otorgar una ampliación de partidas a la Secretaría de Comunicación por un monto total de $1.539.874.000, </w:t>
      </w:r>
    </w:p>
    <w:p w14:paraId="38A972D9" w14:textId="36780A8D" w:rsidR="00963353" w:rsidRDefault="00963353" w:rsidP="001A7E96">
      <w:pPr>
        <w:pStyle w:val="Prrafodelista"/>
        <w:numPr>
          <w:ilvl w:val="0"/>
          <w:numId w:val="3"/>
        </w:numPr>
        <w:shd w:val="clear" w:color="auto" w:fill="FFFFFF"/>
        <w:spacing w:after="0" w:line="360" w:lineRule="auto"/>
        <w:jc w:val="both"/>
        <w:rPr>
          <w:rFonts w:cstheme="minorHAnsi"/>
          <w:sz w:val="28"/>
          <w:szCs w:val="28"/>
        </w:rPr>
      </w:pPr>
      <w:r w:rsidRPr="00934AB8">
        <w:rPr>
          <w:rFonts w:cstheme="minorHAnsi"/>
          <w:sz w:val="28"/>
          <w:szCs w:val="28"/>
        </w:rPr>
        <w:t>Información sobre los costos que implicó a la provincia de San Luis reintegrarse al Consejo Federal de Inversiones</w:t>
      </w:r>
      <w:r w:rsidR="00A81B43">
        <w:rPr>
          <w:rFonts w:cstheme="minorHAnsi"/>
          <w:sz w:val="28"/>
          <w:szCs w:val="28"/>
        </w:rPr>
        <w:t xml:space="preserve"> (CFI).</w:t>
      </w:r>
    </w:p>
    <w:p w14:paraId="363990A0" w14:textId="6F4D0495" w:rsidR="007508CB" w:rsidRDefault="007508CB" w:rsidP="007508CB">
      <w:pPr>
        <w:pStyle w:val="Prrafodelista"/>
        <w:shd w:val="clear" w:color="auto" w:fill="FFFFFF"/>
        <w:spacing w:after="0" w:line="360" w:lineRule="auto"/>
        <w:jc w:val="both"/>
        <w:rPr>
          <w:rFonts w:cstheme="minorHAnsi"/>
          <w:sz w:val="28"/>
          <w:szCs w:val="28"/>
        </w:rPr>
      </w:pPr>
    </w:p>
    <w:p w14:paraId="7F6E33D6" w14:textId="78B5CB40" w:rsidR="00B16D07" w:rsidRPr="007508CB" w:rsidRDefault="007508CB" w:rsidP="007508CB">
      <w:pPr>
        <w:shd w:val="clear" w:color="auto" w:fill="FFFFFF"/>
        <w:spacing w:after="0" w:line="360" w:lineRule="auto"/>
        <w:jc w:val="both"/>
        <w:rPr>
          <w:rFonts w:cstheme="minorHAnsi"/>
          <w:sz w:val="28"/>
          <w:szCs w:val="28"/>
        </w:rPr>
      </w:pPr>
      <w:r w:rsidRPr="007508CB">
        <w:rPr>
          <w:rFonts w:cstheme="minorHAnsi"/>
          <w:b/>
          <w:bCs/>
          <w:sz w:val="28"/>
          <w:szCs w:val="28"/>
        </w:rPr>
        <w:t>Art. 2</w:t>
      </w:r>
      <w:r>
        <w:rPr>
          <w:rFonts w:cstheme="minorHAnsi"/>
          <w:sz w:val="28"/>
          <w:szCs w:val="28"/>
        </w:rPr>
        <w:t xml:space="preserve"> </w:t>
      </w:r>
      <w:r w:rsidRPr="007508CB">
        <w:rPr>
          <w:rFonts w:cstheme="minorHAnsi"/>
          <w:b/>
          <w:bCs/>
          <w:sz w:val="28"/>
          <w:szCs w:val="28"/>
        </w:rPr>
        <w:t>-</w:t>
      </w:r>
      <w:r>
        <w:rPr>
          <w:rFonts w:cstheme="minorHAnsi"/>
          <w:sz w:val="28"/>
          <w:szCs w:val="28"/>
        </w:rPr>
        <w:t xml:space="preserve"> Regístrese, comuníquese al Poder Ejecutivo dentro de las veinticuatro (24) horas de la sanción de la presente y archívese.</w:t>
      </w:r>
    </w:p>
    <w:p w14:paraId="5D98EC4C" w14:textId="77777777" w:rsidR="001A7E96" w:rsidRPr="00934AB8" w:rsidRDefault="001A7E96" w:rsidP="001A7E96">
      <w:pPr>
        <w:pStyle w:val="Prrafodelista"/>
        <w:shd w:val="clear" w:color="auto" w:fill="FFFFFF"/>
        <w:spacing w:after="0" w:line="360" w:lineRule="auto"/>
        <w:ind w:left="643"/>
        <w:jc w:val="both"/>
        <w:rPr>
          <w:rFonts w:cstheme="minorHAnsi"/>
          <w:sz w:val="28"/>
          <w:szCs w:val="28"/>
        </w:rPr>
      </w:pPr>
    </w:p>
    <w:p w14:paraId="1EF3AB71" w14:textId="77777777" w:rsidR="001A7E96" w:rsidRPr="00934AB8" w:rsidRDefault="001A7E96" w:rsidP="001A7E96">
      <w:pPr>
        <w:pStyle w:val="Prrafodelista"/>
        <w:shd w:val="clear" w:color="auto" w:fill="FFFFFF"/>
        <w:spacing w:after="0" w:line="360" w:lineRule="auto"/>
        <w:ind w:left="643"/>
        <w:jc w:val="both"/>
        <w:rPr>
          <w:rFonts w:cstheme="minorHAnsi"/>
          <w:sz w:val="28"/>
          <w:szCs w:val="28"/>
        </w:rPr>
      </w:pPr>
    </w:p>
    <w:p w14:paraId="21DFC650" w14:textId="77777777" w:rsidR="001A7E96" w:rsidRPr="00934AB8" w:rsidRDefault="001A7E96" w:rsidP="001A7E96">
      <w:pPr>
        <w:jc w:val="both"/>
        <w:rPr>
          <w:rFonts w:cstheme="minorHAnsi"/>
          <w:sz w:val="28"/>
          <w:szCs w:val="28"/>
        </w:rPr>
      </w:pPr>
    </w:p>
    <w:p w14:paraId="1F5C3A07" w14:textId="77777777" w:rsidR="001A7E96" w:rsidRPr="00934AB8" w:rsidRDefault="001A7E96" w:rsidP="001A7E96">
      <w:pPr>
        <w:rPr>
          <w:rFonts w:cstheme="minorHAnsi"/>
          <w:b/>
          <w:bCs/>
          <w:sz w:val="28"/>
          <w:szCs w:val="28"/>
        </w:rPr>
      </w:pPr>
    </w:p>
    <w:p w14:paraId="13FF1B09" w14:textId="77777777" w:rsidR="001A7E96" w:rsidRPr="00934AB8" w:rsidRDefault="001A7E96" w:rsidP="001A7E96">
      <w:pPr>
        <w:jc w:val="center"/>
        <w:rPr>
          <w:rFonts w:cstheme="minorHAnsi"/>
          <w:b/>
          <w:bCs/>
          <w:sz w:val="28"/>
          <w:szCs w:val="28"/>
        </w:rPr>
      </w:pPr>
    </w:p>
    <w:p w14:paraId="31D65A63" w14:textId="77777777" w:rsidR="001A7E96" w:rsidRPr="00934AB8" w:rsidRDefault="001A7E96">
      <w:pPr>
        <w:rPr>
          <w:rFonts w:cstheme="minorHAnsi"/>
          <w:sz w:val="28"/>
          <w:szCs w:val="28"/>
        </w:rPr>
      </w:pPr>
    </w:p>
    <w:sectPr w:rsidR="001A7E96" w:rsidRPr="00934AB8" w:rsidSect="0070071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altName w:val="Times New Roman"/>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57BD0"/>
    <w:multiLevelType w:val="hybridMultilevel"/>
    <w:tmpl w:val="9820B36E"/>
    <w:lvl w:ilvl="0" w:tplc="FE8259A2">
      <w:numFmt w:val="bullet"/>
      <w:lvlText w:val="-"/>
      <w:lvlJc w:val="left"/>
      <w:pPr>
        <w:tabs>
          <w:tab w:val="num" w:pos="927"/>
        </w:tabs>
        <w:ind w:left="360" w:firstLine="0"/>
      </w:pPr>
      <w:rPr>
        <w:rFonts w:ascii="Montserrat" w:eastAsia="Montserrat" w:hAnsi="Montserrat" w:cs="Montserrat"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 w15:restartNumberingAfterBreak="0">
    <w:nsid w:val="23F77060"/>
    <w:multiLevelType w:val="hybridMultilevel"/>
    <w:tmpl w:val="CA0222DE"/>
    <w:lvl w:ilvl="0" w:tplc="12024F50">
      <w:numFmt w:val="bullet"/>
      <w:lvlText w:val="-"/>
      <w:lvlJc w:val="left"/>
      <w:pPr>
        <w:tabs>
          <w:tab w:val="num" w:pos="567"/>
        </w:tabs>
        <w:ind w:left="0" w:firstLine="0"/>
      </w:pPr>
      <w:rPr>
        <w:rFonts w:ascii="Montserrat" w:eastAsia="Montserrat" w:hAnsi="Montserrat" w:cs="Montserrat"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2" w15:restartNumberingAfterBreak="0">
    <w:nsid w:val="2CAF652A"/>
    <w:multiLevelType w:val="hybridMultilevel"/>
    <w:tmpl w:val="7424E6B8"/>
    <w:lvl w:ilvl="0" w:tplc="20CC7648">
      <w:numFmt w:val="bullet"/>
      <w:lvlText w:val="-"/>
      <w:lvlJc w:val="left"/>
      <w:pPr>
        <w:ind w:left="1080" w:hanging="360"/>
      </w:pPr>
      <w:rPr>
        <w:rFonts w:ascii="Montserrat" w:eastAsia="Montserrat" w:hAnsi="Montserrat" w:cs="Montserrat"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412035C2"/>
    <w:multiLevelType w:val="multilevel"/>
    <w:tmpl w:val="09D8F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FB7D68"/>
    <w:multiLevelType w:val="hybridMultilevel"/>
    <w:tmpl w:val="AFF0F814"/>
    <w:lvl w:ilvl="0" w:tplc="20CC7648">
      <w:numFmt w:val="bullet"/>
      <w:lvlText w:val="-"/>
      <w:lvlJc w:val="left"/>
      <w:pPr>
        <w:ind w:left="1440" w:hanging="360"/>
      </w:pPr>
      <w:rPr>
        <w:rFonts w:ascii="Montserrat" w:eastAsia="Montserrat" w:hAnsi="Montserrat" w:cs="Montserrat"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772E6C6A"/>
    <w:multiLevelType w:val="hybridMultilevel"/>
    <w:tmpl w:val="E108A79C"/>
    <w:lvl w:ilvl="0" w:tplc="72B2713E">
      <w:numFmt w:val="bullet"/>
      <w:lvlText w:val="-"/>
      <w:lvlJc w:val="left"/>
      <w:pPr>
        <w:tabs>
          <w:tab w:val="num" w:pos="360"/>
        </w:tabs>
        <w:ind w:left="-1111" w:firstLine="1471"/>
      </w:pPr>
      <w:rPr>
        <w:rFonts w:ascii="Montserrat" w:eastAsia="Montserrat" w:hAnsi="Montserrat" w:cs="Montserrat"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6" w15:restartNumberingAfterBreak="0">
    <w:nsid w:val="7BAF3B2E"/>
    <w:multiLevelType w:val="hybridMultilevel"/>
    <w:tmpl w:val="30A4875C"/>
    <w:lvl w:ilvl="0" w:tplc="9DDA61DE">
      <w:numFmt w:val="bullet"/>
      <w:lvlText w:val="-"/>
      <w:lvlJc w:val="left"/>
      <w:pPr>
        <w:tabs>
          <w:tab w:val="num" w:pos="360"/>
        </w:tabs>
        <w:ind w:left="0" w:firstLine="360"/>
      </w:pPr>
      <w:rPr>
        <w:rFonts w:ascii="Montserrat" w:eastAsia="Montserrat" w:hAnsi="Montserrat" w:cs="Montserrat"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7" w15:restartNumberingAfterBreak="0">
    <w:nsid w:val="7F0F323B"/>
    <w:multiLevelType w:val="hybridMultilevel"/>
    <w:tmpl w:val="BE5A1D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96"/>
    <w:rsid w:val="000F0808"/>
    <w:rsid w:val="001363DC"/>
    <w:rsid w:val="00136B20"/>
    <w:rsid w:val="0016626F"/>
    <w:rsid w:val="001A7E96"/>
    <w:rsid w:val="002B393D"/>
    <w:rsid w:val="0031749F"/>
    <w:rsid w:val="003B2EC8"/>
    <w:rsid w:val="005100AB"/>
    <w:rsid w:val="00630E60"/>
    <w:rsid w:val="006A5FE5"/>
    <w:rsid w:val="00700718"/>
    <w:rsid w:val="007508CB"/>
    <w:rsid w:val="007B74D8"/>
    <w:rsid w:val="008579D9"/>
    <w:rsid w:val="00934AB8"/>
    <w:rsid w:val="00963353"/>
    <w:rsid w:val="00966FF0"/>
    <w:rsid w:val="00A14515"/>
    <w:rsid w:val="00A751B1"/>
    <w:rsid w:val="00A81B43"/>
    <w:rsid w:val="00AF047C"/>
    <w:rsid w:val="00AF4978"/>
    <w:rsid w:val="00B16D07"/>
    <w:rsid w:val="00B23F34"/>
    <w:rsid w:val="00CE19DD"/>
    <w:rsid w:val="00E0125C"/>
    <w:rsid w:val="00EC1144"/>
    <w:rsid w:val="00F633EF"/>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7E67"/>
  <w15:chartTrackingRefBased/>
  <w15:docId w15:val="{D8DAB395-90E4-4EF7-A098-39DF3F5D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7E96"/>
    <w:pPr>
      <w:ind w:left="720"/>
      <w:contextualSpacing/>
    </w:pPr>
  </w:style>
  <w:style w:type="paragraph" w:styleId="Textodeglobo">
    <w:name w:val="Balloon Text"/>
    <w:basedOn w:val="Normal"/>
    <w:link w:val="TextodegloboCar"/>
    <w:uiPriority w:val="99"/>
    <w:semiHidden/>
    <w:unhideWhenUsed/>
    <w:rsid w:val="007B74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FDD1-DAE4-45CD-85EE-5C3E504F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1165</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Bicameral de Asuntos Municipales</dc:creator>
  <cp:keywords/>
  <dc:description/>
  <cp:lastModifiedBy>Comisión Bicameral de Asuntos Municipales</cp:lastModifiedBy>
  <cp:revision>6</cp:revision>
  <cp:lastPrinted>2024-08-27T13:37:00Z</cp:lastPrinted>
  <dcterms:created xsi:type="dcterms:W3CDTF">2024-08-27T13:37:00Z</dcterms:created>
  <dcterms:modified xsi:type="dcterms:W3CDTF">2024-08-27T13:44:00Z</dcterms:modified>
</cp:coreProperties>
</file>